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B44E" w14:textId="77777777" w:rsidR="006A68BF" w:rsidRPr="00A70847" w:rsidRDefault="00000000">
      <w:pPr>
        <w:pStyle w:val="Nagwek"/>
        <w:spacing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A70847">
        <w:rPr>
          <w:rFonts w:ascii="Avenir Next LT Pro" w:hAnsi="Avenir Next LT Pro"/>
          <w:b/>
          <w:bCs/>
          <w:sz w:val="24"/>
          <w:szCs w:val="24"/>
          <w:lang w:val="en-US"/>
        </w:rPr>
        <w:t>INFORMATION CLAUSE AML CFT</w:t>
      </w:r>
    </w:p>
    <w:p w14:paraId="1DFBFC6A" w14:textId="77777777" w:rsidR="00644E26" w:rsidRPr="00A70847" w:rsidRDefault="00644E26" w:rsidP="00644E26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</w:p>
    <w:p w14:paraId="670F2D85" w14:textId="77777777" w:rsidR="006A68BF" w:rsidRPr="00A70847" w:rsidRDefault="00000000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>Dear Madam,</w:t>
      </w:r>
    </w:p>
    <w:p w14:paraId="4C523E4D" w14:textId="77777777" w:rsidR="006A68BF" w:rsidRPr="00A70847" w:rsidRDefault="00000000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 xml:space="preserve">Dear Sir, </w:t>
      </w:r>
    </w:p>
    <w:p w14:paraId="0A2CFAE6" w14:textId="77777777" w:rsidR="00644E26" w:rsidRPr="00A70847" w:rsidRDefault="00644E26" w:rsidP="00644E26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</w:p>
    <w:p w14:paraId="7AA204BF" w14:textId="53498ABA" w:rsidR="006A68BF" w:rsidRPr="00A70847" w:rsidRDefault="00000000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 xml:space="preserve">I kindly inform you that the data of clients of </w:t>
      </w:r>
      <w:r w:rsidRPr="00A70847">
        <w:rPr>
          <w:rFonts w:ascii="Avenir Next LT Pro" w:hAnsi="Avenir Next LT Pro" w:cs="Open Sans"/>
          <w:sz w:val="20"/>
          <w:szCs w:val="20"/>
          <w:shd w:val="clear" w:color="auto" w:fill="FFFFFF"/>
          <w:lang w:val="en-US"/>
        </w:rPr>
        <w:t xml:space="preserve">SMW TAX ADVISORY </w:t>
      </w:r>
      <w:r w:rsidRPr="00A70847">
        <w:rPr>
          <w:rFonts w:ascii="Avenir Next LT Pro" w:hAnsi="Avenir Next LT Pro"/>
          <w:sz w:val="20"/>
          <w:szCs w:val="20"/>
          <w:lang w:val="en-US"/>
        </w:rPr>
        <w:t xml:space="preserve">sp. z o.o., as well as beneficial owners, representatives, relatives and other persons authorised to act on your behalf will or may be processed by </w:t>
      </w:r>
      <w:r w:rsidRPr="00A70847">
        <w:rPr>
          <w:rFonts w:ascii="Avenir Next LT Pro" w:hAnsi="Avenir Next LT Pro" w:cs="Open Sans"/>
          <w:sz w:val="20"/>
          <w:szCs w:val="20"/>
          <w:shd w:val="clear" w:color="auto" w:fill="FFFFFF"/>
          <w:lang w:val="en-US"/>
        </w:rPr>
        <w:t xml:space="preserve">SMW TAX ADVISORY </w:t>
      </w:r>
      <w:r w:rsidRPr="00A70847">
        <w:rPr>
          <w:rFonts w:ascii="Avenir Next LT Pro" w:hAnsi="Avenir Next LT Pro"/>
          <w:sz w:val="20"/>
          <w:szCs w:val="20"/>
          <w:lang w:val="en-US"/>
        </w:rPr>
        <w:t>sp. z o.o</w:t>
      </w:r>
      <w:r w:rsidR="00A70847">
        <w:rPr>
          <w:rFonts w:ascii="Avenir Next LT Pro" w:hAnsi="Avenir Next LT Pro"/>
          <w:sz w:val="20"/>
          <w:szCs w:val="20"/>
          <w:lang w:val="en-US"/>
        </w:rPr>
        <w:t>.</w:t>
      </w:r>
      <w:r w:rsidRPr="00A70847">
        <w:rPr>
          <w:rFonts w:ascii="Avenir Next LT Pro" w:hAnsi="Avenir Next LT Pro"/>
          <w:sz w:val="20"/>
          <w:szCs w:val="20"/>
          <w:lang w:val="en-US"/>
        </w:rPr>
        <w:t xml:space="preserve"> (within the framework of the implementation of the Act of 1 March 2018 on the prevention of money laundering and terrorist financing) in connection with our obligations:</w:t>
      </w:r>
    </w:p>
    <w:p w14:paraId="7280E5FB" w14:textId="77777777" w:rsidR="00A70847" w:rsidRPr="00A70847" w:rsidRDefault="00A70847" w:rsidP="00A7084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 xml:space="preserve">to identify you or the entity you represent and verify your identity, </w:t>
      </w:r>
    </w:p>
    <w:p w14:paraId="5603B18A" w14:textId="5B4E70B3" w:rsidR="00A70847" w:rsidRPr="00A70847" w:rsidRDefault="00A70847" w:rsidP="00A7084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 xml:space="preserve">to identify the beneficial owner and verify his identity, </w:t>
      </w:r>
    </w:p>
    <w:p w14:paraId="069A48CB" w14:textId="77777777" w:rsidR="00A70847" w:rsidRPr="00A70847" w:rsidRDefault="00A70847" w:rsidP="00A7084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>to identify risks of money laundering and terrorist financing connected to the business relationship or to the occasional transaction,</w:t>
      </w:r>
    </w:p>
    <w:p w14:paraId="70CA7DC4" w14:textId="77777777" w:rsidR="00A70847" w:rsidRDefault="00A7084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>to apply financial security measures,</w:t>
      </w:r>
    </w:p>
    <w:p w14:paraId="48D5EB6E" w14:textId="77777777" w:rsidR="00A70847" w:rsidRDefault="00A7084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>to determine the ownership and control structure if you represent an entity which is a legal person, an entity without legal personality or a trust,</w:t>
      </w:r>
    </w:p>
    <w:p w14:paraId="2AF3A864" w14:textId="3CCB2CE2" w:rsidR="00D13CCD" w:rsidRPr="00D13CCD" w:rsidRDefault="00A70847" w:rsidP="00D13CCD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9B36A1">
        <w:rPr>
          <w:rFonts w:ascii="Avenir Next LT Pro" w:hAnsi="Avenir Next LT Pro"/>
          <w:sz w:val="20"/>
          <w:szCs w:val="20"/>
          <w:lang w:val="en-US"/>
        </w:rPr>
        <w:t xml:space="preserve">to assess your </w:t>
      </w:r>
      <w:r w:rsidR="00D13CCD" w:rsidRPr="00D13CCD">
        <w:rPr>
          <w:rFonts w:ascii="Avenir Next LT Pro" w:hAnsi="Avenir Next LT Pro"/>
          <w:sz w:val="20"/>
          <w:szCs w:val="20"/>
          <w:lang w:val="en-US"/>
        </w:rPr>
        <w:t>business relations and, as appropriate, obtain information on their purpose and intended nature,</w:t>
      </w:r>
    </w:p>
    <w:p w14:paraId="2E043D0D" w14:textId="105F6514" w:rsidR="006A68BF" w:rsidRPr="009B36A1" w:rsidRDefault="009B36A1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9B36A1">
        <w:rPr>
          <w:rFonts w:ascii="Avenir Next LT Pro" w:hAnsi="Avenir Next LT Pro"/>
          <w:sz w:val="20"/>
          <w:szCs w:val="20"/>
          <w:lang w:val="en-US"/>
        </w:rPr>
        <w:t xml:space="preserve">to monitor your business relations, </w:t>
      </w:r>
    </w:p>
    <w:p w14:paraId="3E5716A2" w14:textId="77777777" w:rsidR="009B36A1" w:rsidRDefault="009B36A1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9B36A1">
        <w:rPr>
          <w:rFonts w:ascii="Avenir Next LT Pro" w:hAnsi="Avenir Next LT Pro"/>
          <w:sz w:val="20"/>
          <w:szCs w:val="20"/>
          <w:lang w:val="en-US"/>
        </w:rPr>
        <w:t>to identify the authorised person and his/her entitlement to act on your behalf or on behalf of the entity you represent,</w:t>
      </w:r>
    </w:p>
    <w:p w14:paraId="15686B25" w14:textId="77777777" w:rsidR="004026B4" w:rsidRDefault="004026B4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4026B4">
        <w:rPr>
          <w:rFonts w:ascii="Avenir Next LT Pro" w:hAnsi="Avenir Next LT Pro"/>
          <w:sz w:val="20"/>
          <w:szCs w:val="20"/>
          <w:lang w:val="en-US"/>
        </w:rPr>
        <w:t>to document the application of financial security measures and the analysis performed,</w:t>
      </w:r>
    </w:p>
    <w:p w14:paraId="7D795D0E" w14:textId="0273F7E9" w:rsidR="006A68BF" w:rsidRPr="00A70847" w:rsidRDefault="004026B4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sz w:val="20"/>
          <w:szCs w:val="20"/>
          <w:lang w:val="en-US"/>
        </w:rPr>
        <w:t xml:space="preserve">to </w:t>
      </w:r>
      <w:r w:rsidRPr="00A70847">
        <w:rPr>
          <w:rFonts w:ascii="Avenir Next LT Pro" w:hAnsi="Avenir Next LT Pro"/>
          <w:sz w:val="20"/>
          <w:szCs w:val="20"/>
          <w:lang w:val="en-US"/>
        </w:rPr>
        <w:t xml:space="preserve">determine whether you or a member of your family or a close associate of yours holds a politically exposed position,  </w:t>
      </w:r>
    </w:p>
    <w:p w14:paraId="33F3CFC8" w14:textId="76700682" w:rsidR="006A68BF" w:rsidRDefault="004026B4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sz w:val="20"/>
          <w:szCs w:val="20"/>
          <w:lang w:val="en-US"/>
        </w:rPr>
        <w:t xml:space="preserve">to </w:t>
      </w:r>
      <w:r w:rsidRPr="00A70847">
        <w:rPr>
          <w:rFonts w:ascii="Avenir Next LT Pro" w:hAnsi="Avenir Next LT Pro"/>
          <w:sz w:val="20"/>
          <w:szCs w:val="20"/>
          <w:lang w:val="en-US"/>
        </w:rPr>
        <w:t>mak</w:t>
      </w:r>
      <w:r>
        <w:rPr>
          <w:rFonts w:ascii="Avenir Next LT Pro" w:hAnsi="Avenir Next LT Pro"/>
          <w:sz w:val="20"/>
          <w:szCs w:val="20"/>
          <w:lang w:val="en-US"/>
        </w:rPr>
        <w:t>e</w:t>
      </w:r>
      <w:r w:rsidRPr="00A70847">
        <w:rPr>
          <w:rFonts w:ascii="Avenir Next LT Pro" w:hAnsi="Avenir Next LT Pro"/>
          <w:sz w:val="20"/>
          <w:szCs w:val="20"/>
          <w:lang w:val="en-US"/>
        </w:rPr>
        <w:t xml:space="preserve"> copies of identity documents:</w:t>
      </w:r>
    </w:p>
    <w:p w14:paraId="6763F1BA" w14:textId="77777777" w:rsidR="004026B4" w:rsidRDefault="004026B4" w:rsidP="004026B4">
      <w:pPr>
        <w:pStyle w:val="Nagwek"/>
        <w:numPr>
          <w:ilvl w:val="2"/>
          <w:numId w:val="1"/>
        </w:numPr>
        <w:tabs>
          <w:tab w:val="clear" w:pos="4536"/>
        </w:tabs>
        <w:spacing w:line="276" w:lineRule="auto"/>
        <w:ind w:left="1701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4026B4">
        <w:rPr>
          <w:rFonts w:ascii="Avenir Next LT Pro" w:hAnsi="Avenir Next LT Pro"/>
          <w:sz w:val="20"/>
          <w:szCs w:val="20"/>
          <w:lang w:val="en-US"/>
        </w:rPr>
        <w:t>of the person with whom we have concluded the contract</w:t>
      </w:r>
      <w:r>
        <w:rPr>
          <w:rFonts w:ascii="Avenir Next LT Pro" w:hAnsi="Avenir Next LT Pro"/>
          <w:sz w:val="20"/>
          <w:szCs w:val="20"/>
          <w:lang w:val="en-US"/>
        </w:rPr>
        <w:t>,</w:t>
      </w:r>
    </w:p>
    <w:p w14:paraId="7574A85C" w14:textId="6555DF7C" w:rsidR="004026B4" w:rsidRPr="00A70847" w:rsidRDefault="004026B4" w:rsidP="004026B4">
      <w:pPr>
        <w:pStyle w:val="Nagwek"/>
        <w:numPr>
          <w:ilvl w:val="2"/>
          <w:numId w:val="1"/>
        </w:numPr>
        <w:tabs>
          <w:tab w:val="clear" w:pos="4536"/>
        </w:tabs>
        <w:spacing w:line="276" w:lineRule="auto"/>
        <w:ind w:left="1701" w:hanging="567"/>
        <w:jc w:val="both"/>
        <w:rPr>
          <w:rFonts w:ascii="Avenir Next LT Pro" w:hAnsi="Avenir Next LT Pro"/>
          <w:sz w:val="20"/>
          <w:szCs w:val="20"/>
          <w:lang w:val="en-US"/>
        </w:rPr>
      </w:pPr>
      <w:r w:rsidRPr="004026B4">
        <w:rPr>
          <w:rFonts w:ascii="Avenir Next LT Pro" w:hAnsi="Avenir Next LT Pro"/>
          <w:sz w:val="20"/>
          <w:szCs w:val="20"/>
          <w:lang w:val="en-US"/>
        </w:rPr>
        <w:t>of the person authorised to act on your behalf</w:t>
      </w:r>
      <w:r>
        <w:rPr>
          <w:rFonts w:ascii="Avenir Next LT Pro" w:hAnsi="Avenir Next LT Pro"/>
          <w:sz w:val="20"/>
          <w:szCs w:val="20"/>
          <w:lang w:val="en-US"/>
        </w:rPr>
        <w:t>.</w:t>
      </w:r>
    </w:p>
    <w:p w14:paraId="0FA7AFFC" w14:textId="16F79829" w:rsidR="006A68BF" w:rsidRPr="00A70847" w:rsidRDefault="006A68BF" w:rsidP="004026B4">
      <w:pPr>
        <w:pStyle w:val="Nagwek"/>
        <w:tabs>
          <w:tab w:val="clear" w:pos="4536"/>
        </w:tabs>
        <w:spacing w:line="276" w:lineRule="auto"/>
        <w:jc w:val="both"/>
        <w:rPr>
          <w:rFonts w:ascii="Avenir Next LT Pro" w:hAnsi="Avenir Next LT Pro"/>
          <w:sz w:val="20"/>
          <w:szCs w:val="20"/>
          <w:lang w:val="en-US"/>
        </w:rPr>
      </w:pPr>
    </w:p>
    <w:p w14:paraId="2F1714F7" w14:textId="77777777" w:rsidR="00644E26" w:rsidRPr="00A70847" w:rsidRDefault="00644E26" w:rsidP="00644E26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</w:pPr>
    </w:p>
    <w:p w14:paraId="238C06F9" w14:textId="77777777" w:rsidR="006A68BF" w:rsidRPr="00A70847" w:rsidRDefault="00000000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</w:pPr>
      <w:r w:rsidRPr="00A70847"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>Detailed information on data protection is contained in the information clause implementing the requirements of the RODO</w:t>
      </w:r>
      <w:r w:rsidRPr="00DA67B6">
        <w:rPr>
          <w:rStyle w:val="Odwoanieprzypisudolnego"/>
          <w:rFonts w:ascii="Avenir Next LT Pro" w:hAnsi="Avenir Next LT Pro" w:cs="Arial"/>
          <w:sz w:val="20"/>
          <w:szCs w:val="20"/>
          <w:shd w:val="clear" w:color="auto" w:fill="FFFFFF"/>
        </w:rPr>
        <w:footnoteReference w:id="2"/>
      </w:r>
      <w:r w:rsidRPr="00A70847"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 xml:space="preserve"> . </w:t>
      </w:r>
    </w:p>
    <w:p w14:paraId="4DF43D9F" w14:textId="77777777" w:rsidR="006A68BF" w:rsidRDefault="00000000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</w:rPr>
      </w:pPr>
      <w:r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>Information clause:</w:t>
      </w:r>
    </w:p>
    <w:p w14:paraId="2DECDB53" w14:textId="77777777" w:rsidR="006A68BF" w:rsidRDefault="00000000">
      <w:pPr>
        <w:pStyle w:val="Nagwek"/>
        <w:numPr>
          <w:ilvl w:val="0"/>
          <w:numId w:val="2"/>
        </w:numPr>
        <w:spacing w:line="276" w:lineRule="auto"/>
        <w:ind w:left="567" w:hanging="567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</w:pPr>
      <w:r w:rsidRPr="00A70847"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 xml:space="preserve">is available at </w:t>
      </w:r>
      <w:hyperlink r:id="rId9">
        <w:r w:rsidRPr="00A70847">
          <w:rPr>
            <w:rStyle w:val="Hipercze"/>
            <w:rFonts w:ascii="Avenir Next LT Pro" w:hAnsi="Avenir Next LT Pro" w:cs="Arial"/>
            <w:sz w:val="20"/>
            <w:szCs w:val="20"/>
            <w:shd w:val="clear" w:color="auto" w:fill="FFFFFF"/>
            <w:lang w:val="en-US"/>
          </w:rPr>
          <w:t>https://smw-taxadvisory.pl/</w:t>
        </w:r>
      </w:hyperlink>
      <w:r w:rsidRPr="00A70847"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 xml:space="preserve"> and on the Company's premises,    </w:t>
      </w:r>
    </w:p>
    <w:p w14:paraId="0172CCE7" w14:textId="22525D51" w:rsidR="00644E26" w:rsidRPr="00132192" w:rsidRDefault="004026B4" w:rsidP="00644E26">
      <w:pPr>
        <w:pStyle w:val="Nagwek"/>
        <w:numPr>
          <w:ilvl w:val="0"/>
          <w:numId w:val="2"/>
        </w:numPr>
        <w:spacing w:line="276" w:lineRule="auto"/>
        <w:ind w:left="567" w:hanging="567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</w:pPr>
      <w:r w:rsidRPr="00132192"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>is attached to the contract.</w:t>
      </w:r>
    </w:p>
    <w:p w14:paraId="5EB1EC87" w14:textId="77777777" w:rsidR="004026B4" w:rsidRPr="004026B4" w:rsidRDefault="004026B4" w:rsidP="00644E26">
      <w:pPr>
        <w:pStyle w:val="Nagwek"/>
        <w:tabs>
          <w:tab w:val="clear" w:pos="4536"/>
        </w:tabs>
        <w:spacing w:line="276" w:lineRule="auto"/>
        <w:ind w:left="567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en-US"/>
        </w:rPr>
      </w:pPr>
    </w:p>
    <w:p w14:paraId="2C2B7962" w14:textId="77777777" w:rsidR="006A68BF" w:rsidRPr="00A70847" w:rsidRDefault="00000000">
      <w:pPr>
        <w:spacing w:before="26" w:after="0" w:line="276" w:lineRule="auto"/>
        <w:jc w:val="both"/>
        <w:rPr>
          <w:rStyle w:val="Hipercze"/>
          <w:rFonts w:ascii="Avenir Next LT Pro" w:hAnsi="Avenir Next LT Pro" w:cs="Arial"/>
          <w:shd w:val="clear" w:color="auto" w:fill="FFFFFF"/>
          <w:lang w:val="en-US"/>
        </w:rPr>
      </w:pPr>
      <w:r w:rsidRPr="00A70847">
        <w:rPr>
          <w:rFonts w:ascii="Avenir Next LT Pro" w:hAnsi="Avenir Next LT Pro"/>
          <w:sz w:val="20"/>
          <w:szCs w:val="20"/>
          <w:lang w:val="en-US"/>
        </w:rPr>
        <w:t xml:space="preserve">For any clarifications on matters related to data processing, please contact us at the following email address: </w:t>
      </w:r>
      <w:r w:rsidRPr="00A70847">
        <w:rPr>
          <w:rStyle w:val="Hipercze"/>
          <w:rFonts w:ascii="Avenir Next LT Pro" w:hAnsi="Avenir Next LT Pro" w:cs="Arial"/>
          <w:sz w:val="20"/>
          <w:szCs w:val="20"/>
          <w:shd w:val="clear" w:color="auto" w:fill="FFFFFF"/>
          <w:lang w:val="en-US"/>
        </w:rPr>
        <w:t>kontakt@smw-taxadvisory.pl.</w:t>
      </w:r>
    </w:p>
    <w:p w14:paraId="1ADC78AD" w14:textId="77777777" w:rsidR="00024FCF" w:rsidRPr="00A70847" w:rsidRDefault="00024FCF">
      <w:pPr>
        <w:rPr>
          <w:rFonts w:ascii="Avenir Next LT Pro" w:hAnsi="Avenir Next LT Pro"/>
          <w:b/>
          <w:bCs/>
          <w:sz w:val="20"/>
          <w:szCs w:val="20"/>
          <w:lang w:val="en-US"/>
        </w:rPr>
      </w:pPr>
    </w:p>
    <w:sectPr w:rsidR="00024FCF" w:rsidRPr="00A7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6B9C" w14:textId="77777777" w:rsidR="00E53A5E" w:rsidRDefault="00E53A5E" w:rsidP="00644E26">
      <w:pPr>
        <w:spacing w:after="0" w:line="240" w:lineRule="auto"/>
      </w:pPr>
      <w:r>
        <w:separator/>
      </w:r>
    </w:p>
  </w:endnote>
  <w:endnote w:type="continuationSeparator" w:id="0">
    <w:p w14:paraId="7C966D6F" w14:textId="77777777" w:rsidR="00E53A5E" w:rsidRDefault="00E53A5E" w:rsidP="00644E26">
      <w:pPr>
        <w:spacing w:after="0" w:line="240" w:lineRule="auto"/>
      </w:pPr>
      <w:r>
        <w:continuationSeparator/>
      </w:r>
    </w:p>
  </w:endnote>
  <w:endnote w:type="continuationNotice" w:id="1">
    <w:p w14:paraId="0D85A761" w14:textId="77777777" w:rsidR="00E53A5E" w:rsidRDefault="00E53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8E9C" w14:textId="77777777" w:rsidR="00E53A5E" w:rsidRDefault="00E53A5E" w:rsidP="00644E26">
      <w:pPr>
        <w:spacing w:after="0" w:line="240" w:lineRule="auto"/>
      </w:pPr>
      <w:r>
        <w:separator/>
      </w:r>
    </w:p>
  </w:footnote>
  <w:footnote w:type="continuationSeparator" w:id="0">
    <w:p w14:paraId="0CFDBFF6" w14:textId="77777777" w:rsidR="00E53A5E" w:rsidRDefault="00E53A5E" w:rsidP="00644E26">
      <w:pPr>
        <w:spacing w:after="0" w:line="240" w:lineRule="auto"/>
      </w:pPr>
      <w:r>
        <w:continuationSeparator/>
      </w:r>
    </w:p>
  </w:footnote>
  <w:footnote w:type="continuationNotice" w:id="1">
    <w:p w14:paraId="5FDB2D83" w14:textId="77777777" w:rsidR="00E53A5E" w:rsidRDefault="00E53A5E">
      <w:pPr>
        <w:spacing w:after="0" w:line="240" w:lineRule="auto"/>
      </w:pPr>
    </w:p>
  </w:footnote>
  <w:footnote w:id="2">
    <w:p w14:paraId="26A71717" w14:textId="77777777" w:rsidR="006A68BF" w:rsidRPr="00A70847" w:rsidRDefault="00000000">
      <w:pPr>
        <w:pStyle w:val="Tekstprzypisudolnego"/>
        <w:jc w:val="both"/>
        <w:rPr>
          <w:rFonts w:ascii="Avenir Next LT Pro" w:hAnsi="Avenir Next LT Pro"/>
          <w:lang w:val="en-US"/>
        </w:rPr>
      </w:pPr>
      <w:r w:rsidRPr="005F16DE">
        <w:rPr>
          <w:rStyle w:val="Odwoanieprzypisudolnego"/>
          <w:rFonts w:ascii="Avenir Next LT Pro" w:hAnsi="Avenir Next LT Pro"/>
          <w:sz w:val="18"/>
          <w:szCs w:val="18"/>
        </w:rPr>
        <w:footnoteRef/>
      </w:r>
      <w:r w:rsidRPr="00A70847">
        <w:rPr>
          <w:rFonts w:ascii="Avenir Next LT Pro" w:hAnsi="Avenir Next LT Pro"/>
          <w:sz w:val="18"/>
          <w:szCs w:val="18"/>
          <w:lang w:val="en-US"/>
        </w:rPr>
        <w:t xml:space="preserve"> Regulation (EU) 2016/679 of the European Parliament and of the Council of 27 April 2016 </w:t>
      </w:r>
      <w:r w:rsidR="00DA67B6" w:rsidRPr="00A70847">
        <w:rPr>
          <w:rFonts w:ascii="Avenir Next LT Pro" w:hAnsi="Avenir Next LT Pro"/>
          <w:sz w:val="18"/>
          <w:szCs w:val="18"/>
          <w:lang w:val="en-US"/>
        </w:rPr>
        <w:t xml:space="preserve">on the </w:t>
      </w:r>
      <w:r w:rsidRPr="00A70847">
        <w:rPr>
          <w:rFonts w:ascii="Avenir Next LT Pro" w:hAnsi="Avenir Next LT Pro"/>
          <w:sz w:val="18"/>
          <w:szCs w:val="18"/>
          <w:lang w:val="en-US"/>
        </w:rPr>
        <w:t>protection of natural persons with regard to the processing of personal data and on the free movement of such data and repealing Directive 95/46/EC (General Data Protection Regulation).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E0F"/>
    <w:multiLevelType w:val="hybridMultilevel"/>
    <w:tmpl w:val="1778CCC8"/>
    <w:lvl w:ilvl="0" w:tplc="1D522B9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4F52"/>
    <w:multiLevelType w:val="hybridMultilevel"/>
    <w:tmpl w:val="8C2CDCD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1D522B96">
      <w:start w:val="1"/>
      <w:numFmt w:val="bullet"/>
      <w:lvlText w:val=""/>
      <w:lvlJc w:val="left"/>
      <w:pPr>
        <w:ind w:left="2412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7407">
    <w:abstractNumId w:val="1"/>
  </w:num>
  <w:num w:numId="2" w16cid:durableId="11891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26"/>
    <w:rsid w:val="00024FCF"/>
    <w:rsid w:val="00046D39"/>
    <w:rsid w:val="00132192"/>
    <w:rsid w:val="004026B4"/>
    <w:rsid w:val="004E4484"/>
    <w:rsid w:val="005F16DE"/>
    <w:rsid w:val="00644E26"/>
    <w:rsid w:val="006840EF"/>
    <w:rsid w:val="006A68BF"/>
    <w:rsid w:val="00820A12"/>
    <w:rsid w:val="00946A41"/>
    <w:rsid w:val="0096526F"/>
    <w:rsid w:val="009B36A1"/>
    <w:rsid w:val="009F36EB"/>
    <w:rsid w:val="00A70847"/>
    <w:rsid w:val="00C178D5"/>
    <w:rsid w:val="00C57536"/>
    <w:rsid w:val="00C67EC3"/>
    <w:rsid w:val="00D13CCD"/>
    <w:rsid w:val="00DA67B6"/>
    <w:rsid w:val="00E53A5E"/>
    <w:rsid w:val="00E911F5"/>
    <w:rsid w:val="00F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D366"/>
  <w15:chartTrackingRefBased/>
  <w15:docId w15:val="{771BCA61-5351-4E7B-9970-D842389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E2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E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E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E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E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E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E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E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E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E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E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E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E2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44E26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2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E2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semiHidden/>
    <w:unhideWhenUsed/>
    <w:rsid w:val="0068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40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mw-taxadvis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6A8646AF093D4085BFC5232C669787" ma:contentTypeVersion="11" ma:contentTypeDescription="Utwórz nowy dokument." ma:contentTypeScope="" ma:versionID="bb3ec8e5b20b95842c57e5a9a31efbc7">
  <xsd:schema xmlns:xsd="http://www.w3.org/2001/XMLSchema" xmlns:xs="http://www.w3.org/2001/XMLSchema" xmlns:p="http://schemas.microsoft.com/office/2006/metadata/properties" xmlns:ns2="944054c1-f2ad-4874-9cd5-7c66e60863de" xmlns:ns3="ed44b137-b550-492c-b2bf-6e51a10f66f5" targetNamespace="http://schemas.microsoft.com/office/2006/metadata/properties" ma:root="true" ma:fieldsID="eb14bc0c380847f27e2724eb9b0c2df6" ns2:_="" ns3:_="">
    <xsd:import namespace="944054c1-f2ad-4874-9cd5-7c66e60863de"/>
    <xsd:import namespace="ed44b137-b550-492c-b2bf-6e51a10f6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054c1-f2ad-4874-9cd5-7c66e6086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90c4288-eebc-4915-86ef-6b86efc4c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b137-b550-492c-b2bf-6e51a10f66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603392-06ab-463d-8b93-1b9dabbce573}" ma:internalName="TaxCatchAll" ma:showField="CatchAllData" ma:web="ed44b137-b550-492c-b2bf-6e51a10f6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88867-DF40-494A-8AC7-1EFB3496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054c1-f2ad-4874-9cd5-7c66e60863de"/>
    <ds:schemaRef ds:uri="ed44b137-b550-492c-b2bf-6e51a10f6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54AB5-9A35-45F6-93D7-7BAB63029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Nowicka</dc:creator>
  <cp:keywords>, docId:C53CF15DC0D7F1686898A9A42096DDBC</cp:keywords>
  <dc:description/>
  <cp:lastModifiedBy>Joanna Roszak</cp:lastModifiedBy>
  <cp:revision>11</cp:revision>
  <dcterms:created xsi:type="dcterms:W3CDTF">2024-05-27T07:19:00Z</dcterms:created>
  <dcterms:modified xsi:type="dcterms:W3CDTF">2024-07-23T10:49:00Z</dcterms:modified>
</cp:coreProperties>
</file>